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u w:val="single"/>
          <w:lang w:val="en-US" w:eastAsia="zh-CN"/>
        </w:rPr>
        <w:t>振兴工厂</w:t>
      </w:r>
      <w:bookmarkStart w:id="0" w:name="_GoBack"/>
      <w:bookmarkEnd w:id="0"/>
      <w:r>
        <w:rPr>
          <w:rFonts w:hint="eastAsia" w:asciiTheme="minorEastAsia" w:hAnsiTheme="minorEastAsia" w:eastAsiaTheme="minorEastAsia" w:cstheme="minorEastAsia"/>
          <w:u w:val="single"/>
          <w:lang w:val="en-US" w:eastAsia="zh-CN"/>
        </w:rPr>
        <w:t>1#平面分段车间室外堆场屋面虹吸排水安装工程</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大连西中岛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0AF56F6F">
      <w:pPr>
        <w:pStyle w:val="8"/>
        <w:adjustRightInd w:val="0"/>
        <w:snapToGrid w:val="0"/>
        <w:spacing w:before="75" w:beforeAutospacing="0" w:after="75" w:afterAutospacing="0" w:line="360" w:lineRule="auto"/>
        <w:ind w:firstLine="480" w:firstLineChars="200"/>
        <w:contextualSpacing/>
        <w:rPr>
          <w:rFonts w:hint="eastAsia" w:cs="宋体"/>
          <w:color w:val="000000"/>
          <w:kern w:val="0"/>
          <w:sz w:val="24"/>
          <w:szCs w:val="24"/>
          <w:u w:val="single"/>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宋体" w:hAnsi="宋体" w:eastAsia="宋体" w:cs="宋体"/>
          <w:color w:val="000000"/>
          <w:kern w:val="0"/>
          <w:sz w:val="24"/>
          <w:szCs w:val="24"/>
          <w:u w:val="none"/>
          <w:lang w:eastAsia="zh-CN"/>
        </w:rPr>
        <w:t>：</w:t>
      </w:r>
      <w:r>
        <w:rPr>
          <w:rFonts w:hint="eastAsia" w:cs="宋体"/>
          <w:color w:val="000000"/>
          <w:kern w:val="0"/>
          <w:sz w:val="24"/>
          <w:szCs w:val="24"/>
          <w:u w:val="single"/>
          <w:lang w:val="en-US" w:eastAsia="zh-CN"/>
        </w:rPr>
        <w:t xml:space="preserve"> 本项目招标单位与建设单位承建的一切与厂房虹吸排水相关的施工内容 </w:t>
      </w:r>
    </w:p>
    <w:p w14:paraId="5FCBB267">
      <w:pPr>
        <w:pStyle w:val="8"/>
        <w:adjustRightInd w:val="0"/>
        <w:snapToGrid w:val="0"/>
        <w:spacing w:before="75" w:beforeAutospacing="0" w:after="75" w:afterAutospacing="0" w:line="360" w:lineRule="auto"/>
        <w:ind w:firstLine="480" w:firstLineChars="200"/>
        <w:contextualSpacing/>
        <w:rPr>
          <w:rFonts w:hint="eastAsia" w:eastAsia="宋体" w:cs="Arial"/>
          <w:color w:val="auto"/>
          <w:lang w:val="en-US" w:eastAsia="zh-CN"/>
        </w:rPr>
      </w:pPr>
      <w:r>
        <w:rPr>
          <w:rFonts w:hint="eastAsia" w:cs="Arial"/>
          <w:lang w:val="en-US" w:eastAsia="zh-CN"/>
        </w:rPr>
        <w:t>4.1、专业分包：</w:t>
      </w:r>
      <w:r>
        <w:rPr>
          <w:rFonts w:hint="eastAsia" w:cs="Arial"/>
          <w:color w:val="auto"/>
          <w:lang w:val="en-US" w:eastAsia="zh-CN"/>
        </w:rPr>
        <w:t>虹吸排水工程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eastAsia" w:asciiTheme="minorEastAsia" w:hAnsiTheme="minorEastAsia" w:eastAsiaTheme="minorEastAsia" w:cstheme="minorEastAsia"/>
          <w:u w:val="single"/>
          <w:lang w:val="en-US" w:eastAsia="zh-CN"/>
        </w:rPr>
        <w:t>20</w:t>
      </w:r>
      <w:r>
        <w:rPr>
          <w:rFonts w:hint="eastAsia" w:asciiTheme="minorEastAsia" w:hAnsiTheme="minorEastAsia" w:eastAsiaTheme="minorEastAsia" w:cstheme="minorEastAsia"/>
        </w:rPr>
        <w:t>天，</w:t>
      </w:r>
      <w:r>
        <w:rPr>
          <w:rFonts w:hint="eastAsia" w:ascii="宋体" w:hAnsi="宋体" w:eastAsia="宋体" w:cs="Arial"/>
        </w:rPr>
        <w:t>工程的</w:t>
      </w:r>
      <w:r>
        <w:rPr>
          <w:rFonts w:hint="eastAsia" w:ascii="宋体" w:hAnsi="宋体" w:eastAsia="宋体" w:cs="Arial"/>
          <w:lang w:val="zh-CN"/>
        </w:rPr>
        <w:t>计划开工日期：</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u w:val="single"/>
          <w:lang w:eastAsia="zh-CN"/>
        </w:rPr>
        <w:t>，</w:t>
      </w:r>
      <w:r>
        <w:rPr>
          <w:rFonts w:hint="eastAsia" w:asciiTheme="minorEastAsia" w:hAnsiTheme="minorEastAsia" w:eastAsiaTheme="minorEastAsia" w:cstheme="minorEastAsia"/>
          <w:sz w:val="24"/>
          <w:u w:val="single"/>
          <w:lang w:val="en-US" w:eastAsia="zh-CN"/>
        </w:rPr>
        <w:t>具体以实际开工日期为准。</w:t>
      </w:r>
      <w:r>
        <w:rPr>
          <w:rFonts w:hint="eastAsia" w:ascii="宋体" w:hAnsi="宋体" w:eastAsia="宋体" w:cs="Arial"/>
        </w:rPr>
        <w:t>中标单位施工满足</w:t>
      </w:r>
      <w:r>
        <w:rPr>
          <w:rFonts w:hint="eastAsia" w:cs="Arial"/>
          <w:lang w:eastAsia="zh-CN"/>
        </w:rPr>
        <w:t>招标人</w:t>
      </w:r>
      <w:r>
        <w:rPr>
          <w:rFonts w:hint="eastAsia" w:ascii="宋体" w:hAnsi="宋体" w:eastAsia="宋体" w:cs="Arial"/>
        </w:rPr>
        <w:t>要求，做到夜间施工。</w:t>
      </w:r>
    </w:p>
    <w:p w14:paraId="44B1D4F4">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val="en-US" w:eastAsia="zh-CN"/>
        </w:rPr>
      </w:pPr>
      <w:r>
        <w:rPr>
          <w:rFonts w:hint="eastAsia" w:cs="Arial"/>
          <w:lang w:val="en-US" w:eastAsia="zh-CN"/>
        </w:rPr>
        <w:t>6、</w:t>
      </w:r>
      <w:r>
        <w:rPr>
          <w:rFonts w:hint="eastAsia" w:ascii="宋体" w:hAnsi="宋体" w:eastAsia="宋体" w:cs="Arial"/>
          <w:lang w:val="en-US" w:eastAsia="zh-CN"/>
        </w:rPr>
        <w:t>安全要求：</w:t>
      </w:r>
    </w:p>
    <w:p w14:paraId="4E2449E1">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6.1、</w:t>
      </w:r>
      <w:r>
        <w:rPr>
          <w:rFonts w:hint="eastAsia" w:ascii="宋体" w:hAnsi="宋体" w:eastAsia="宋体" w:cs="Arial"/>
          <w:lang w:val="en-US" w:eastAsia="zh-CN"/>
        </w:rPr>
        <w:t>在项目</w:t>
      </w:r>
      <w:r>
        <w:rPr>
          <w:rFonts w:hint="eastAsia" w:cs="Arial"/>
          <w:lang w:val="en-US" w:eastAsia="zh-CN"/>
        </w:rPr>
        <w:t>合同签订后进场</w:t>
      </w:r>
      <w:r>
        <w:rPr>
          <w:rFonts w:hint="eastAsia" w:ascii="宋体" w:hAnsi="宋体" w:eastAsia="宋体" w:cs="Arial"/>
          <w:lang w:val="en-US" w:eastAsia="zh-CN"/>
        </w:rPr>
        <w:t>前，必须为所属人员至少办理保额为100万元/人的意外伤害身故和10万元/人的意外伤害医疗保险</w:t>
      </w:r>
      <w:r>
        <w:rPr>
          <w:rFonts w:hint="eastAsia" w:cs="Arial"/>
          <w:lang w:val="en-US" w:eastAsia="zh-CN"/>
        </w:rPr>
        <w:t>；投标人根据高空作业类型选择职业投保：1-4职业，不含高空作业，5-6职业，含高空作业。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zh-CN"/>
        </w:rPr>
      </w:pPr>
      <w:r>
        <w:rPr>
          <w:rFonts w:hint="eastAsia"/>
          <w:color w:val="000000"/>
          <w:sz w:val="24"/>
          <w:szCs w:val="24"/>
          <w:u w:val="none"/>
          <w:lang w:val="en-US" w:eastAsia="zh-CN"/>
        </w:rPr>
        <w:t>6.2、</w:t>
      </w:r>
      <w:r>
        <w:rPr>
          <w:rFonts w:hint="eastAsia" w:ascii="宋体" w:hAnsi="宋体"/>
          <w:color w:val="000000"/>
          <w:sz w:val="24"/>
          <w:szCs w:val="24"/>
          <w:u w:val="none"/>
          <w:lang w:val="zh-CN"/>
        </w:rPr>
        <w:t>在项目开工前，中标单位须为其招收的务工人员办理所需的一切必要法规手续、相关保险和证件</w:t>
      </w:r>
      <w:r>
        <w:rPr>
          <w:rFonts w:hint="eastAsia"/>
          <w:color w:val="000000"/>
          <w:sz w:val="24"/>
          <w:szCs w:val="24"/>
          <w:u w:val="none"/>
          <w:lang w:val="zh-CN"/>
        </w:rPr>
        <w:t>（建筑电工</w:t>
      </w:r>
      <w:r>
        <w:rPr>
          <w:rFonts w:hint="eastAsia"/>
          <w:color w:val="000000"/>
          <w:sz w:val="24"/>
          <w:szCs w:val="24"/>
          <w:u w:val="none"/>
          <w:lang w:val="zh-CN" w:eastAsia="zh-CN"/>
        </w:rPr>
        <w:t>、</w:t>
      </w:r>
      <w:r>
        <w:rPr>
          <w:rFonts w:hint="eastAsia"/>
          <w:color w:val="000000"/>
          <w:sz w:val="24"/>
          <w:szCs w:val="24"/>
          <w:u w:val="none"/>
          <w:lang w:val="zh-CN"/>
        </w:rPr>
        <w:t>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lang w:val="en-US" w:eastAsia="zh-CN"/>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lang w:val="en-US" w:eastAsia="zh-CN"/>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sz w:val="24"/>
          <w:szCs w:val="24"/>
          <w:u w:val="none"/>
          <w:lang w:val="en-US" w:eastAsia="zh-CN"/>
        </w:rPr>
      </w:pPr>
      <w:r>
        <w:rPr>
          <w:rFonts w:hint="eastAsia"/>
          <w:color w:val="000000"/>
          <w:sz w:val="24"/>
          <w:szCs w:val="24"/>
          <w:u w:val="none"/>
          <w:lang w:val="en-US" w:eastAsia="zh-CN"/>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6.5</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cstheme="minorEastAsia"/>
          <w:kern w:val="0"/>
          <w:sz w:val="24"/>
          <w:szCs w:val="24"/>
          <w:u w:val="single"/>
          <w:lang w:val="en-US" w:eastAsia="zh-CN"/>
        </w:rPr>
        <w:t>6.6</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cstheme="minorEastAsia"/>
          <w:kern w:val="0"/>
          <w:sz w:val="24"/>
          <w:szCs w:val="24"/>
          <w:u w:val="single"/>
          <w:lang w:val="en-US" w:eastAsia="zh-CN"/>
        </w:rPr>
        <w:t>6.7</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rFonts w:hint="eastAsia"/>
          <w:color w:val="000000"/>
          <w:sz w:val="24"/>
          <w:szCs w:val="24"/>
          <w:u w:val="none"/>
          <w:lang w:val="en-US" w:eastAsia="zh-CN"/>
        </w:rPr>
      </w:pPr>
      <w:r>
        <w:rPr>
          <w:rFonts w:hint="eastAsia" w:asciiTheme="minorEastAsia" w:hAnsiTheme="minorEastAsia" w:cstheme="minorEastAsia"/>
          <w:color w:val="000000"/>
          <w:sz w:val="24"/>
          <w:szCs w:val="24"/>
          <w:u w:val="single"/>
          <w:lang w:val="en-US" w:eastAsia="zh-CN"/>
        </w:rPr>
        <w:t>6，8</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r>
        <w:rPr>
          <w:rFonts w:hint="eastAsia" w:asciiTheme="minorEastAsia" w:hAnsiTheme="minorEastAsia" w:cstheme="minorEastAsia"/>
          <w:sz w:val="24"/>
          <w:u w:val="single"/>
          <w:lang w:eastAsia="zh-CN"/>
        </w:rPr>
        <w:t>，</w:t>
      </w:r>
      <w:r>
        <w:rPr>
          <w:rFonts w:hint="eastAsia" w:asciiTheme="minorEastAsia" w:hAnsiTheme="minorEastAsia" w:cstheme="minorEastAsia"/>
          <w:sz w:val="24"/>
          <w:u w:val="single"/>
          <w:lang w:val="en-US" w:eastAsia="zh-CN"/>
        </w:rPr>
        <w:t>工程质量合格</w:t>
      </w:r>
      <w:r>
        <w:rPr>
          <w:rFonts w:hint="eastAsia" w:asciiTheme="minorEastAsia" w:hAnsiTheme="minorEastAsia" w:eastAsiaTheme="minorEastAsia" w:cstheme="minorEastAsia"/>
          <w:sz w:val="24"/>
          <w:u w:val="single"/>
        </w:rPr>
        <w:t>。</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default" w:asciiTheme="minorEastAsia" w:hAnsiTheme="minorEastAsia" w:eastAsiaTheme="minorEastAsia" w:cstheme="minorEastAsia"/>
          <w:sz w:val="24"/>
          <w:u w:val="single"/>
          <w:lang w:val="en-US" w:eastAsia="zh-CN"/>
        </w:rPr>
      </w:pPr>
      <w:r>
        <w:rPr>
          <w:rFonts w:hint="eastAsia" w:asciiTheme="minorEastAsia" w:hAnsiTheme="minorEastAsia" w:eastAsiaTheme="minorEastAsia" w:cstheme="minorEastAsia"/>
          <w:sz w:val="24"/>
          <w:u w:val="single"/>
          <w:lang w:val="en-US" w:eastAsia="zh-CN"/>
        </w:rPr>
        <w:t>7.2、</w:t>
      </w:r>
      <w:r>
        <w:rPr>
          <w:rFonts w:hint="eastAsia" w:asciiTheme="minorEastAsia" w:hAnsiTheme="minorEastAsia" w:eastAsiaTheme="minorEastAsia" w:cstheme="minorEastAsia"/>
          <w:sz w:val="24"/>
          <w:u w:val="single"/>
          <w:lang w:val="zh-CN" w:eastAsia="zh-CN"/>
        </w:rPr>
        <w:t>投标人应认真按照招标人安排组织施工，按规定进行隐蔽、中间工程验收及交工验收，随时接受建设单位、监理单位、招标人施工管理人员及</w:t>
      </w:r>
      <w:r>
        <w:rPr>
          <w:rFonts w:hint="eastAsia" w:asciiTheme="minorEastAsia" w:hAnsiTheme="minorEastAsia" w:eastAsiaTheme="minorEastAsia" w:cstheme="minorEastAsia"/>
          <w:sz w:val="24"/>
          <w:u w:val="single"/>
          <w:lang w:val="en-US" w:eastAsia="zh-CN"/>
        </w:rPr>
        <w:t>政府</w:t>
      </w:r>
      <w:r>
        <w:rPr>
          <w:rFonts w:hint="eastAsia" w:asciiTheme="minorEastAsia" w:hAnsiTheme="minorEastAsia" w:eastAsiaTheme="minorEastAsia" w:cstheme="minorEastAsia"/>
          <w:sz w:val="24"/>
          <w:u w:val="single"/>
          <w:lang w:val="zh-CN" w:eastAsia="zh-CN"/>
        </w:rPr>
        <w:t>主管部门的监督、检查；投标人建立内部“三检制”为招标人验收积极创造条件，对招标人提出的质量问题及时整改，并承担由自身原因导致的返工、修改费用和检查费用。</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cstheme="minorEastAsia"/>
          <w:kern w:val="0"/>
          <w:sz w:val="24"/>
          <w:szCs w:val="24"/>
          <w:u w:val="single"/>
          <w:lang w:val="en-US" w:eastAsia="zh-CN"/>
        </w:rPr>
        <w:t>中标</w:t>
      </w:r>
      <w:r>
        <w:rPr>
          <w:rFonts w:hint="eastAsia" w:asciiTheme="minorEastAsia" w:hAnsiTheme="minorEastAsia" w:eastAsia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rPr>
          <w:rFonts w:hint="default" w:eastAsiaTheme="minorEastAsia"/>
          <w:lang w:val="en-US" w:eastAsia="zh-CN"/>
        </w:rPr>
      </w:pPr>
      <w:r>
        <w:rPr>
          <w:rFonts w:hint="eastAsia" w:asciiTheme="minorEastAsia" w:hAnsiTheme="minorEastAsia" w:eastAsiaTheme="minorEastAsia" w:cstheme="minorEastAsia"/>
          <w:kern w:val="0"/>
          <w:sz w:val="24"/>
          <w:szCs w:val="24"/>
          <w:u w:val="single"/>
          <w:lang w:val="en-US" w:eastAsia="zh-CN"/>
        </w:rPr>
        <w:t>7.4、该工程检测费用，一次性检测合格由建设单位承担，二次复检由投标单位承担。</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3、投标人资质（营业执照、资质证书、生产许可证）</w:t>
      </w:r>
    </w:p>
    <w:p w14:paraId="63C57A9D">
      <w:pPr>
        <w:pStyle w:val="2"/>
        <w:ind w:left="1198" w:leftChars="342" w:hanging="480" w:hangingChars="2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b w:val="0"/>
          <w:bCs w:val="0"/>
          <w:color w:val="000000"/>
          <w:sz w:val="24"/>
          <w:szCs w:val="24"/>
          <w:u w:val="none"/>
          <w:lang w:val="en-US" w:eastAsia="zh-CN"/>
        </w:rPr>
      </w:pPr>
      <w:r>
        <w:rPr>
          <w:rFonts w:hint="eastAsia" w:ascii="宋体" w:hAnsi="宋体" w:eastAsia="宋体" w:cs="Arial"/>
          <w:lang w:val="en-US" w:eastAsia="zh-CN"/>
        </w:rPr>
        <w:t>以上材料全部加盖公章及需要时加盖法人章</w:t>
      </w:r>
      <w:r>
        <w:rPr>
          <w:rFonts w:hint="eastAsia" w:cs="Arial"/>
          <w:lang w:val="en-US" w:eastAsia="zh-CN"/>
        </w:rPr>
        <w:t>，按照规定要求进行密封</w:t>
      </w:r>
      <w:r>
        <w:rPr>
          <w:rFonts w:hint="eastAsia" w:cs="Arial"/>
          <w:lang w:eastAsia="zh-CN"/>
        </w:rPr>
        <w:t>。</w:t>
      </w:r>
      <w:r>
        <w:rPr>
          <w:rFonts w:hint="eastAsia" w:ascii="宋体" w:hAnsi="宋体" w:eastAsia="宋体" w:cs="Arial"/>
        </w:rPr>
        <w:t xml:space="preserve"> </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auto"/>
          <w:sz w:val="24"/>
          <w:szCs w:val="24"/>
          <w:u w:val="none"/>
          <w:lang w:val="en-US" w:eastAsia="zh-CN"/>
        </w:rPr>
      </w:pPr>
      <w:r>
        <w:rPr>
          <w:rFonts w:hint="eastAsia" w:asciiTheme="minorEastAsia" w:hAnsiTheme="minorEastAsia" w:eastAsiaTheme="minorEastAsia" w:cstheme="minorEastAsia"/>
          <w:color w:val="auto"/>
          <w:sz w:val="24"/>
          <w:szCs w:val="24"/>
          <w:u w:val="none"/>
          <w:lang w:val="en-US" w:eastAsia="zh-CN"/>
        </w:rPr>
        <w:t>2、采用固定综合单价报价。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2" w:firstLineChars="200"/>
        <w:jc w:val="left"/>
        <w:rPr>
          <w:rFonts w:hint="eastAsia" w:asciiTheme="minorEastAsia" w:hAnsiTheme="minorEastAsia" w:eastAsiaTheme="minorEastAsia" w:cstheme="minorEastAsia"/>
          <w:b/>
          <w:bCs/>
        </w:rPr>
      </w:pPr>
      <w:r>
        <w:rPr>
          <w:rFonts w:hint="eastAsia" w:asciiTheme="minorEastAsia" w:hAnsiTheme="minorEastAsia" w:cstheme="minorEastAsia"/>
          <w:b/>
          <w:bCs/>
          <w:sz w:val="24"/>
          <w:szCs w:val="24"/>
          <w:lang w:val="en-US" w:eastAsia="zh-CN"/>
        </w:rPr>
        <w:t>六</w:t>
      </w:r>
      <w:r>
        <w:rPr>
          <w:rFonts w:hint="eastAsia" w:asciiTheme="minorEastAsia" w:hAnsiTheme="minorEastAsia" w:eastAsiaTheme="minorEastAsia" w:cstheme="minorEastAsia"/>
          <w:b/>
          <w:bCs/>
          <w:sz w:val="24"/>
          <w:szCs w:val="24"/>
        </w:rPr>
        <w:t>、</w:t>
      </w:r>
      <w:r>
        <w:rPr>
          <w:rStyle w:val="11"/>
          <w:rFonts w:hint="eastAsia" w:asciiTheme="minorEastAsia" w:hAnsiTheme="minorEastAsia" w:eastAsiaTheme="minorEastAsia" w:cstheme="minorEastAsia"/>
          <w:b/>
          <w:bCs/>
          <w:sz w:val="24"/>
          <w:szCs w:val="24"/>
        </w:rPr>
        <w:t>投标方式：</w:t>
      </w:r>
      <w:r>
        <w:rPr>
          <w:rFonts w:hint="eastAsia" w:asciiTheme="minorEastAsia" w:hAnsiTheme="minorEastAsia" w:eastAsiaTheme="minorEastAsia" w:cstheme="minorEastAsia"/>
          <w:b/>
          <w:bCs/>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于2026年7月31日15：50点携带书面投标报价材料至辰胜集成科技股份有限公司会议室投标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逾期未参加</w:t>
      </w:r>
      <w:r>
        <w:rPr>
          <w:rFonts w:hint="eastAsia" w:asciiTheme="minorEastAsia" w:hAnsiTheme="minorEastAsia" w:eastAsiaTheme="minorEastAsia" w:cstheme="minorEastAsia"/>
          <w:color w:val="auto"/>
          <w:sz w:val="24"/>
          <w:szCs w:val="24"/>
          <w:highlight w:val="none"/>
        </w:rPr>
        <w:t xml:space="preserve">视为自动弃权。 </w:t>
      </w:r>
    </w:p>
    <w:p w14:paraId="78924F85">
      <w:pPr>
        <w:pStyle w:val="8"/>
        <w:numPr>
          <w:ilvl w:val="0"/>
          <w:numId w:val="1"/>
        </w:numPr>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2、本工程采取邀请招标及资格后审的招标方式。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74D696A9">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1、</w:t>
      </w:r>
      <w:r>
        <w:rPr>
          <w:rFonts w:hint="eastAsia" w:cs="Arial"/>
          <w:lang w:eastAsia="zh-CN"/>
        </w:rPr>
        <w:t>投标人不得</w:t>
      </w:r>
      <w:r>
        <w:rPr>
          <w:rFonts w:hint="eastAsia" w:ascii="宋体" w:hAnsi="宋体" w:eastAsia="宋体" w:cs="Arial"/>
        </w:rPr>
        <w:t>私自修改</w:t>
      </w:r>
      <w:r>
        <w:rPr>
          <w:rFonts w:hint="eastAsia" w:cs="Arial"/>
          <w:lang w:eastAsia="zh-CN"/>
        </w:rPr>
        <w:t>招标文件内容，否则</w:t>
      </w:r>
      <w:r>
        <w:rPr>
          <w:rFonts w:hint="eastAsia" w:ascii="宋体" w:hAnsi="宋体" w:eastAsia="宋体" w:cs="Arial"/>
        </w:rPr>
        <w:t>作为废标处理</w:t>
      </w:r>
      <w:r>
        <w:rPr>
          <w:rFonts w:hint="eastAsia" w:ascii="宋体" w:hAnsi="宋体" w:eastAsia="宋体" w:cs="Arial"/>
          <w:lang w:eastAsia="zh-CN"/>
        </w:rPr>
        <w:t>；</w:t>
      </w:r>
    </w:p>
    <w:p w14:paraId="13891BFA">
      <w:pPr>
        <w:pStyle w:val="8"/>
        <w:adjustRightInd w:val="0"/>
        <w:snapToGrid w:val="0"/>
        <w:spacing w:before="75" w:beforeAutospacing="0" w:after="75" w:afterAutospacing="0" w:line="360" w:lineRule="auto"/>
        <w:ind w:firstLine="480" w:firstLineChars="200"/>
        <w:contextualSpacing/>
        <w:rPr>
          <w:rFonts w:hint="eastAsia" w:ascii="宋体" w:hAnsi="宋体" w:eastAsia="宋体" w:cs="Arial"/>
          <w:lang w:eastAsia="zh-CN"/>
        </w:rPr>
      </w:pPr>
      <w:r>
        <w:rPr>
          <w:rFonts w:hint="eastAsia" w:ascii="宋体" w:hAnsi="宋体" w:eastAsia="宋体" w:cs="Arial"/>
        </w:rPr>
        <w:t>2、</w:t>
      </w:r>
      <w:r>
        <w:rPr>
          <w:rFonts w:hint="eastAsia" w:cs="Arial"/>
          <w:lang w:eastAsia="zh-CN"/>
        </w:rPr>
        <w:t>投标人</w:t>
      </w:r>
      <w:r>
        <w:rPr>
          <w:rFonts w:hint="eastAsia" w:ascii="宋体" w:hAnsi="宋体" w:eastAsia="宋体" w:cs="Arial"/>
        </w:rPr>
        <w:t>未按规定时间投标的作为废标处理</w:t>
      </w:r>
      <w:r>
        <w:rPr>
          <w:rFonts w:hint="eastAsia" w:ascii="宋体" w:hAnsi="宋体" w:eastAsia="宋体" w:cs="Arial"/>
          <w:lang w:eastAsia="zh-CN"/>
        </w:rPr>
        <w:t>；</w:t>
      </w:r>
    </w:p>
    <w:p w14:paraId="215E3714">
      <w:pPr>
        <w:pStyle w:val="8"/>
        <w:adjustRightInd w:val="0"/>
        <w:snapToGrid w:val="0"/>
        <w:spacing w:before="75" w:beforeAutospacing="0" w:after="75" w:afterAutospacing="0" w:line="360" w:lineRule="auto"/>
        <w:ind w:firstLine="480" w:firstLineChars="200"/>
        <w:contextualSpacing/>
        <w:rPr>
          <w:rFonts w:hint="eastAsia" w:cs="Arial"/>
          <w:lang w:val="en-US" w:eastAsia="zh-CN"/>
        </w:rPr>
      </w:pPr>
      <w:r>
        <w:rPr>
          <w:rFonts w:hint="eastAsia" w:cs="Arial"/>
          <w:lang w:val="en-US" w:eastAsia="zh-CN"/>
        </w:rPr>
        <w:t>3、</w:t>
      </w:r>
      <w:r>
        <w:rPr>
          <w:rFonts w:hint="eastAsia" w:cs="Arial"/>
          <w:lang w:eastAsia="zh-CN"/>
        </w:rPr>
        <w:t>投标人公司为分公司按照废标处理；</w:t>
      </w:r>
    </w:p>
    <w:p w14:paraId="004AFE1B">
      <w:pPr>
        <w:pStyle w:val="8"/>
        <w:adjustRightInd w:val="0"/>
        <w:snapToGrid w:val="0"/>
        <w:spacing w:before="75" w:beforeAutospacing="0" w:after="75" w:afterAutospacing="0" w:line="360" w:lineRule="auto"/>
        <w:ind w:firstLine="480" w:firstLineChars="200"/>
        <w:contextualSpacing/>
        <w:rPr>
          <w:rFonts w:hint="default" w:ascii="宋体" w:hAnsi="宋体" w:eastAsia="宋体" w:cs="Arial"/>
          <w:lang w:val="en-US" w:eastAsia="zh-CN"/>
        </w:rPr>
      </w:pPr>
      <w:r>
        <w:rPr>
          <w:rFonts w:hint="eastAsia" w:cs="Arial"/>
          <w:lang w:val="en-US" w:eastAsia="zh-CN"/>
        </w:rPr>
        <w:t>4、其他内容规定；</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w:t>
      </w:r>
      <w:r>
        <w:rPr>
          <w:rFonts w:hint="eastAsia" w:asciiTheme="minorEastAsia" w:hAnsiTheme="minorEastAsia" w:eastAsiaTheme="minorEastAsia" w:cstheme="minorEastAsia"/>
          <w:color w:val="auto"/>
          <w:lang w:val="en-US" w:eastAsia="zh-CN"/>
        </w:rPr>
        <w:t>于</w:t>
      </w:r>
      <w:r>
        <w:rPr>
          <w:rFonts w:hint="eastAsia" w:asciiTheme="minorEastAsia" w:hAnsiTheme="minorEastAsia" w:eastAsiaTheme="minorEastAsia" w:cstheme="minorEastAsia"/>
          <w:color w:val="auto"/>
          <w:u w:val="single"/>
          <w:lang w:val="en-US" w:eastAsia="zh-CN"/>
        </w:rPr>
        <w:t>2026年7月31日15：50点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sz w:val="13"/>
          <w:szCs w:val="13"/>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7F466576">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27DCFF03">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u w:val="none"/>
          <w:lang w:val="en-US" w:eastAsia="zh-CN"/>
        </w:rPr>
        <w:t>张荣贵；联系方式：18662363720</w:t>
      </w:r>
    </w:p>
    <w:p w14:paraId="715BFAEA">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27</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944B"/>
    <w:multiLevelType w:val="singleLevel"/>
    <w:tmpl w:val="D3A4944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C0B75"/>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1CE015D"/>
    <w:rsid w:val="020453DD"/>
    <w:rsid w:val="02301FCF"/>
    <w:rsid w:val="02671768"/>
    <w:rsid w:val="02A402DB"/>
    <w:rsid w:val="030B4D4D"/>
    <w:rsid w:val="03426DF5"/>
    <w:rsid w:val="03C9092D"/>
    <w:rsid w:val="056326BB"/>
    <w:rsid w:val="057F6DC9"/>
    <w:rsid w:val="06305648"/>
    <w:rsid w:val="063E690D"/>
    <w:rsid w:val="06476272"/>
    <w:rsid w:val="067D3E1F"/>
    <w:rsid w:val="06947239"/>
    <w:rsid w:val="06C70A28"/>
    <w:rsid w:val="078169F8"/>
    <w:rsid w:val="081110D4"/>
    <w:rsid w:val="08234384"/>
    <w:rsid w:val="082F24A5"/>
    <w:rsid w:val="083131FB"/>
    <w:rsid w:val="084E15E9"/>
    <w:rsid w:val="08584373"/>
    <w:rsid w:val="09D27E0F"/>
    <w:rsid w:val="0A71587A"/>
    <w:rsid w:val="0A7768D1"/>
    <w:rsid w:val="0B390D96"/>
    <w:rsid w:val="0B8233B3"/>
    <w:rsid w:val="0B835865"/>
    <w:rsid w:val="0B9B5B95"/>
    <w:rsid w:val="0D417D8B"/>
    <w:rsid w:val="0D752B10"/>
    <w:rsid w:val="0D766502"/>
    <w:rsid w:val="0E362582"/>
    <w:rsid w:val="0E59752E"/>
    <w:rsid w:val="0E77454F"/>
    <w:rsid w:val="0E8A2A67"/>
    <w:rsid w:val="0EF44384"/>
    <w:rsid w:val="0F3E0DB4"/>
    <w:rsid w:val="0FE1776C"/>
    <w:rsid w:val="101F2E80"/>
    <w:rsid w:val="10A05A21"/>
    <w:rsid w:val="11797E46"/>
    <w:rsid w:val="11CB0306"/>
    <w:rsid w:val="126136D2"/>
    <w:rsid w:val="127C7E7F"/>
    <w:rsid w:val="147E4624"/>
    <w:rsid w:val="14A66120"/>
    <w:rsid w:val="14E5714B"/>
    <w:rsid w:val="157974FB"/>
    <w:rsid w:val="162B0FD3"/>
    <w:rsid w:val="166164A8"/>
    <w:rsid w:val="169A03A1"/>
    <w:rsid w:val="171F21BA"/>
    <w:rsid w:val="17C11206"/>
    <w:rsid w:val="17F87200"/>
    <w:rsid w:val="180C0DB5"/>
    <w:rsid w:val="18361523"/>
    <w:rsid w:val="189F1804"/>
    <w:rsid w:val="18AB3BE5"/>
    <w:rsid w:val="18C4126B"/>
    <w:rsid w:val="18F670DD"/>
    <w:rsid w:val="194C7751"/>
    <w:rsid w:val="1A6675ED"/>
    <w:rsid w:val="1BAE69CC"/>
    <w:rsid w:val="1C163DC6"/>
    <w:rsid w:val="1D337815"/>
    <w:rsid w:val="1E1B3BAF"/>
    <w:rsid w:val="1E601A36"/>
    <w:rsid w:val="1E7D709E"/>
    <w:rsid w:val="1E901DC9"/>
    <w:rsid w:val="1E9B2426"/>
    <w:rsid w:val="1ECB3BB8"/>
    <w:rsid w:val="1F486616"/>
    <w:rsid w:val="1F704F01"/>
    <w:rsid w:val="205F0ADF"/>
    <w:rsid w:val="20854159"/>
    <w:rsid w:val="20AA7B1D"/>
    <w:rsid w:val="212D2194"/>
    <w:rsid w:val="2203407A"/>
    <w:rsid w:val="22564811"/>
    <w:rsid w:val="22CE6EAE"/>
    <w:rsid w:val="22D47B51"/>
    <w:rsid w:val="23675E38"/>
    <w:rsid w:val="23B0469D"/>
    <w:rsid w:val="23C87173"/>
    <w:rsid w:val="242E0744"/>
    <w:rsid w:val="248F272D"/>
    <w:rsid w:val="24911B40"/>
    <w:rsid w:val="25827ED1"/>
    <w:rsid w:val="25E72276"/>
    <w:rsid w:val="27A32CDE"/>
    <w:rsid w:val="282E14A8"/>
    <w:rsid w:val="28634DE3"/>
    <w:rsid w:val="28742019"/>
    <w:rsid w:val="2A3A563F"/>
    <w:rsid w:val="2AF13A06"/>
    <w:rsid w:val="2B4B4CC8"/>
    <w:rsid w:val="2BC5733E"/>
    <w:rsid w:val="2C3E7DB7"/>
    <w:rsid w:val="2C8763E0"/>
    <w:rsid w:val="2C967C7C"/>
    <w:rsid w:val="2D76604C"/>
    <w:rsid w:val="2D8A4634"/>
    <w:rsid w:val="2DE80197"/>
    <w:rsid w:val="2E0371A9"/>
    <w:rsid w:val="2F054932"/>
    <w:rsid w:val="2FCD0A67"/>
    <w:rsid w:val="303164B3"/>
    <w:rsid w:val="308C2FDE"/>
    <w:rsid w:val="308D553F"/>
    <w:rsid w:val="30B80E83"/>
    <w:rsid w:val="30BA448B"/>
    <w:rsid w:val="31C3610C"/>
    <w:rsid w:val="31CF4AB1"/>
    <w:rsid w:val="322D1977"/>
    <w:rsid w:val="32415A76"/>
    <w:rsid w:val="32FB6028"/>
    <w:rsid w:val="33283989"/>
    <w:rsid w:val="335D1F16"/>
    <w:rsid w:val="33C550E6"/>
    <w:rsid w:val="33EC5279"/>
    <w:rsid w:val="33FB68A8"/>
    <w:rsid w:val="344F03F1"/>
    <w:rsid w:val="346059C8"/>
    <w:rsid w:val="346F2C93"/>
    <w:rsid w:val="35207B69"/>
    <w:rsid w:val="35256A2B"/>
    <w:rsid w:val="35C54173"/>
    <w:rsid w:val="36231DDC"/>
    <w:rsid w:val="36592B9B"/>
    <w:rsid w:val="37595978"/>
    <w:rsid w:val="37916F6C"/>
    <w:rsid w:val="379B58CA"/>
    <w:rsid w:val="382E3D36"/>
    <w:rsid w:val="38B5751A"/>
    <w:rsid w:val="38E0369C"/>
    <w:rsid w:val="38ED372D"/>
    <w:rsid w:val="3AC76960"/>
    <w:rsid w:val="3B660B98"/>
    <w:rsid w:val="3BAE2878"/>
    <w:rsid w:val="3C5E64A0"/>
    <w:rsid w:val="3CFB312B"/>
    <w:rsid w:val="3D2671CB"/>
    <w:rsid w:val="3DAA5332"/>
    <w:rsid w:val="3DBE6DB2"/>
    <w:rsid w:val="3E9926CE"/>
    <w:rsid w:val="3F036E3F"/>
    <w:rsid w:val="3F194AE5"/>
    <w:rsid w:val="3F1D3AAE"/>
    <w:rsid w:val="3F244C1C"/>
    <w:rsid w:val="3FA75CAA"/>
    <w:rsid w:val="3FB83D9A"/>
    <w:rsid w:val="40A841DA"/>
    <w:rsid w:val="414E4656"/>
    <w:rsid w:val="41CF4659"/>
    <w:rsid w:val="4252015C"/>
    <w:rsid w:val="42730A01"/>
    <w:rsid w:val="429F5DD9"/>
    <w:rsid w:val="43110647"/>
    <w:rsid w:val="432D4862"/>
    <w:rsid w:val="43CC4366"/>
    <w:rsid w:val="44424C50"/>
    <w:rsid w:val="44F4565A"/>
    <w:rsid w:val="45BC549B"/>
    <w:rsid w:val="45F4643C"/>
    <w:rsid w:val="46EC35B7"/>
    <w:rsid w:val="46F86FC8"/>
    <w:rsid w:val="47B96D18"/>
    <w:rsid w:val="47E36768"/>
    <w:rsid w:val="48EA1118"/>
    <w:rsid w:val="496B4306"/>
    <w:rsid w:val="497B35EB"/>
    <w:rsid w:val="49A76CC3"/>
    <w:rsid w:val="4A1571CF"/>
    <w:rsid w:val="4A2F0B40"/>
    <w:rsid w:val="4A4060F4"/>
    <w:rsid w:val="4BD468D1"/>
    <w:rsid w:val="4BED4059"/>
    <w:rsid w:val="4C783700"/>
    <w:rsid w:val="4D272B4C"/>
    <w:rsid w:val="4D5A74CD"/>
    <w:rsid w:val="4DF64A33"/>
    <w:rsid w:val="4F5344A7"/>
    <w:rsid w:val="4F8559E5"/>
    <w:rsid w:val="4FDE1B25"/>
    <w:rsid w:val="5000200F"/>
    <w:rsid w:val="5098083C"/>
    <w:rsid w:val="50E57711"/>
    <w:rsid w:val="51303DF9"/>
    <w:rsid w:val="51BC5826"/>
    <w:rsid w:val="539C2350"/>
    <w:rsid w:val="53EB70D0"/>
    <w:rsid w:val="53FD3187"/>
    <w:rsid w:val="540F41AE"/>
    <w:rsid w:val="54F238A9"/>
    <w:rsid w:val="54FC1BD7"/>
    <w:rsid w:val="5533367F"/>
    <w:rsid w:val="55741E7C"/>
    <w:rsid w:val="560B206E"/>
    <w:rsid w:val="566273F2"/>
    <w:rsid w:val="570D735E"/>
    <w:rsid w:val="576B0606"/>
    <w:rsid w:val="57C978C6"/>
    <w:rsid w:val="57E53DC4"/>
    <w:rsid w:val="581A05FB"/>
    <w:rsid w:val="58CD06CF"/>
    <w:rsid w:val="59037B6C"/>
    <w:rsid w:val="593F08DF"/>
    <w:rsid w:val="59491933"/>
    <w:rsid w:val="5A113AB1"/>
    <w:rsid w:val="5B502364"/>
    <w:rsid w:val="5B5A2D8E"/>
    <w:rsid w:val="5B6905B9"/>
    <w:rsid w:val="5B8A0301"/>
    <w:rsid w:val="5B9112BC"/>
    <w:rsid w:val="5BC21BFB"/>
    <w:rsid w:val="5BD10969"/>
    <w:rsid w:val="5C0D6B64"/>
    <w:rsid w:val="5C717124"/>
    <w:rsid w:val="5CE76B7C"/>
    <w:rsid w:val="5DB04EE7"/>
    <w:rsid w:val="5DF64F6E"/>
    <w:rsid w:val="5E0F64F5"/>
    <w:rsid w:val="5ED74D86"/>
    <w:rsid w:val="5F5E39C7"/>
    <w:rsid w:val="5F7158EE"/>
    <w:rsid w:val="600D3460"/>
    <w:rsid w:val="602E29C3"/>
    <w:rsid w:val="60EE51AF"/>
    <w:rsid w:val="60F64865"/>
    <w:rsid w:val="61865990"/>
    <w:rsid w:val="61E667EC"/>
    <w:rsid w:val="62980896"/>
    <w:rsid w:val="62BB7CF7"/>
    <w:rsid w:val="62C144A2"/>
    <w:rsid w:val="631E2751"/>
    <w:rsid w:val="657607C4"/>
    <w:rsid w:val="658C346E"/>
    <w:rsid w:val="66816415"/>
    <w:rsid w:val="66A05697"/>
    <w:rsid w:val="68FF6A50"/>
    <w:rsid w:val="693E2EAD"/>
    <w:rsid w:val="69444141"/>
    <w:rsid w:val="6B086362"/>
    <w:rsid w:val="6B901A90"/>
    <w:rsid w:val="6BA772BE"/>
    <w:rsid w:val="6CE81FA7"/>
    <w:rsid w:val="6E217CF5"/>
    <w:rsid w:val="6E517A32"/>
    <w:rsid w:val="6E5C0C37"/>
    <w:rsid w:val="6F5606EC"/>
    <w:rsid w:val="6F752021"/>
    <w:rsid w:val="6F7E03CC"/>
    <w:rsid w:val="701D3E71"/>
    <w:rsid w:val="71381023"/>
    <w:rsid w:val="719217F2"/>
    <w:rsid w:val="71AB1F93"/>
    <w:rsid w:val="72356C6F"/>
    <w:rsid w:val="7273700F"/>
    <w:rsid w:val="72975BAB"/>
    <w:rsid w:val="72AA7CFF"/>
    <w:rsid w:val="730A1A8A"/>
    <w:rsid w:val="73E57706"/>
    <w:rsid w:val="753947D5"/>
    <w:rsid w:val="75A31161"/>
    <w:rsid w:val="76EE09BF"/>
    <w:rsid w:val="7763270E"/>
    <w:rsid w:val="79446C3A"/>
    <w:rsid w:val="798C1B9A"/>
    <w:rsid w:val="79AF255F"/>
    <w:rsid w:val="7B4864F5"/>
    <w:rsid w:val="7C0412F0"/>
    <w:rsid w:val="7C327466"/>
    <w:rsid w:val="7C5B66FF"/>
    <w:rsid w:val="7C667A70"/>
    <w:rsid w:val="7C9A3815"/>
    <w:rsid w:val="7CC9547F"/>
    <w:rsid w:val="7CD940DD"/>
    <w:rsid w:val="7D4D17D3"/>
    <w:rsid w:val="7D954C7E"/>
    <w:rsid w:val="7DC928E8"/>
    <w:rsid w:val="7DDF11A4"/>
    <w:rsid w:val="7E21356B"/>
    <w:rsid w:val="7E483DDF"/>
    <w:rsid w:val="7EBA30D9"/>
    <w:rsid w:val="7FB82BBF"/>
    <w:rsid w:val="7FCA378E"/>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1959</Words>
  <Characters>2037</Characters>
  <Lines>8</Lines>
  <Paragraphs>2</Paragraphs>
  <TotalTime>15</TotalTime>
  <ScaleCrop>false</ScaleCrop>
  <LinksUpToDate>false</LinksUpToDate>
  <CharactersWithSpaces>2093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刘茂杰</cp:lastModifiedBy>
  <cp:lastPrinted>2024-05-21T08:29:00Z</cp:lastPrinted>
  <dcterms:modified xsi:type="dcterms:W3CDTF">2026-07-27T10:24:56Z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F49FF1F36A444F319C058ED4F10659AA</vt:lpwstr>
  </property>
  <property fmtid="{D5CDD505-2E9C-101B-9397-08002B2CF9AE}" pid="4" name="KSOTemplateDocerSaveRecord">
    <vt:lpwstr>eyJoZGlkIjoiMmU1ZTY4ZDc4ZDBjZmFiZGQwZTg3YjM3YzM0MzEyYzAiLCJ1c2VySWQiOiIxMDU1NzMzOTg0In0=</vt:lpwstr>
  </property>
</Properties>
</file>